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2C700" w14:textId="77777777" w:rsidR="004A7375" w:rsidRPr="004A7375" w:rsidRDefault="004A7375">
      <w:pPr>
        <w:rPr>
          <w:rFonts w:ascii="Aptos" w:hAnsi="Aptos"/>
          <w:sz w:val="20"/>
          <w:szCs w:val="20"/>
        </w:rPr>
      </w:pPr>
    </w:p>
    <w:p w14:paraId="7C129941" w14:textId="77777777" w:rsidR="004A7375" w:rsidRPr="004A7375" w:rsidRDefault="004A7375" w:rsidP="004A7375">
      <w:pPr>
        <w:jc w:val="center"/>
        <w:rPr>
          <w:rFonts w:ascii="Aptos" w:hAnsi="Aptos"/>
          <w:b/>
          <w:bCs/>
          <w:sz w:val="20"/>
          <w:szCs w:val="20"/>
        </w:rPr>
      </w:pPr>
      <w:r w:rsidRPr="004A7375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708E4015" w14:textId="18DDCC76" w:rsidR="004A7375" w:rsidRPr="004A7375" w:rsidRDefault="004A7375" w:rsidP="004A7375">
      <w:pPr>
        <w:jc w:val="center"/>
        <w:rPr>
          <w:rFonts w:ascii="Aptos" w:hAnsi="Aptos"/>
          <w:b/>
          <w:bCs/>
          <w:sz w:val="20"/>
          <w:szCs w:val="20"/>
        </w:rPr>
      </w:pPr>
      <w:r w:rsidRPr="004A7375">
        <w:rPr>
          <w:rFonts w:ascii="Aptos" w:hAnsi="Aptos"/>
          <w:b/>
          <w:bCs/>
          <w:sz w:val="20"/>
          <w:szCs w:val="20"/>
        </w:rPr>
        <w:t>Kardiomonitor modułowy</w:t>
      </w:r>
    </w:p>
    <w:p w14:paraId="1C3D4E02" w14:textId="77777777" w:rsidR="004A7375" w:rsidRPr="004A7375" w:rsidRDefault="004A7375" w:rsidP="004A7375">
      <w:pPr>
        <w:jc w:val="center"/>
        <w:rPr>
          <w:rFonts w:ascii="Aptos" w:hAnsi="Aptos"/>
          <w:b/>
          <w:bCs/>
          <w:sz w:val="20"/>
          <w:szCs w:val="20"/>
        </w:rPr>
      </w:pPr>
    </w:p>
    <w:p w14:paraId="7A79D458" w14:textId="77777777" w:rsidR="004A7375" w:rsidRDefault="004A7375" w:rsidP="004A7375">
      <w:pPr>
        <w:rPr>
          <w:rFonts w:ascii="Aptos" w:hAnsi="Aptos"/>
          <w:b/>
          <w:bCs/>
          <w:sz w:val="20"/>
          <w:szCs w:val="20"/>
        </w:rPr>
      </w:pPr>
    </w:p>
    <w:p w14:paraId="76E65740" w14:textId="203A5FCC" w:rsidR="004A7375" w:rsidRPr="004A7375" w:rsidRDefault="004A7375" w:rsidP="004A7375">
      <w:pPr>
        <w:rPr>
          <w:rFonts w:ascii="Aptos" w:hAnsi="Aptos"/>
          <w:b/>
          <w:bCs/>
          <w:sz w:val="20"/>
          <w:szCs w:val="20"/>
        </w:rPr>
      </w:pPr>
      <w:r w:rsidRPr="004A7375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60B0DCC7" w14:textId="77777777" w:rsidR="004A7375" w:rsidRPr="004A7375" w:rsidRDefault="004A7375">
      <w:pPr>
        <w:rPr>
          <w:rFonts w:ascii="Aptos" w:hAnsi="Aptos"/>
          <w:sz w:val="20"/>
          <w:szCs w:val="20"/>
        </w:rPr>
      </w:pPr>
    </w:p>
    <w:p w14:paraId="518256CB" w14:textId="77777777" w:rsidR="004A7375" w:rsidRPr="004A7375" w:rsidRDefault="004A7375">
      <w:pPr>
        <w:rPr>
          <w:rFonts w:ascii="Aptos" w:hAnsi="Aptos"/>
          <w:sz w:val="20"/>
          <w:szCs w:val="20"/>
        </w:rPr>
      </w:pPr>
    </w:p>
    <w:p w14:paraId="075F1B55" w14:textId="77777777" w:rsidR="004A7375" w:rsidRPr="004A7375" w:rsidRDefault="004A7375">
      <w:pPr>
        <w:rPr>
          <w:rFonts w:ascii="Aptos" w:hAnsi="Aptos"/>
          <w:sz w:val="20"/>
          <w:szCs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6844"/>
        <w:gridCol w:w="2268"/>
        <w:gridCol w:w="4253"/>
      </w:tblGrid>
      <w:tr w:rsidR="00E93545" w:rsidRPr="004A7375" w14:paraId="7FB8983E" w14:textId="77777777" w:rsidTr="004A7375">
        <w:trPr>
          <w:jc w:val="center"/>
        </w:trPr>
        <w:tc>
          <w:tcPr>
            <w:tcW w:w="664" w:type="dxa"/>
            <w:vAlign w:val="center"/>
          </w:tcPr>
          <w:p w14:paraId="3E3450E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844" w:type="dxa"/>
            <w:vAlign w:val="center"/>
          </w:tcPr>
          <w:p w14:paraId="7811544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vAlign w:val="center"/>
          </w:tcPr>
          <w:p w14:paraId="4BDC6517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611F101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E93545" w:rsidRPr="004A7375" w14:paraId="38EC30C0" w14:textId="77777777" w:rsidTr="00B74443">
        <w:trPr>
          <w:jc w:val="center"/>
        </w:trPr>
        <w:tc>
          <w:tcPr>
            <w:tcW w:w="14029" w:type="dxa"/>
            <w:gridSpan w:val="4"/>
            <w:vAlign w:val="center"/>
          </w:tcPr>
          <w:p w14:paraId="67B57F94" w14:textId="77777777" w:rsidR="00E93545" w:rsidRPr="004A7375" w:rsidRDefault="00E93545" w:rsidP="00B74443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b/>
                <w:bCs/>
                <w:sz w:val="20"/>
                <w:szCs w:val="20"/>
              </w:rPr>
              <w:t>Kardiomonitor modułowy</w:t>
            </w:r>
          </w:p>
        </w:tc>
      </w:tr>
      <w:tr w:rsidR="00E93545" w:rsidRPr="004A7375" w14:paraId="3E3BD2EC" w14:textId="77777777" w:rsidTr="004A7375">
        <w:trPr>
          <w:jc w:val="center"/>
        </w:trPr>
        <w:tc>
          <w:tcPr>
            <w:tcW w:w="664" w:type="dxa"/>
            <w:vAlign w:val="center"/>
          </w:tcPr>
          <w:p w14:paraId="30ADAE0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1FAE4D2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pacjenta o budowie modułowej. Poszczególne moduły pomiarowe przenoszone między monitorami bez udziału serwisu</w:t>
            </w:r>
          </w:p>
        </w:tc>
        <w:tc>
          <w:tcPr>
            <w:tcW w:w="2268" w:type="dxa"/>
            <w:vAlign w:val="center"/>
          </w:tcPr>
          <w:p w14:paraId="612901B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D339082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5730BDA" w14:textId="77777777" w:rsidTr="004A7375">
        <w:trPr>
          <w:jc w:val="center"/>
        </w:trPr>
        <w:tc>
          <w:tcPr>
            <w:tcW w:w="664" w:type="dxa"/>
            <w:vAlign w:val="center"/>
          </w:tcPr>
          <w:p w14:paraId="18177FC7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88DB92D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Zasilanie sieciowe dostosowane do 230V / 50 Hz. Wewnętrzny akumulator, wymienialny przez użytkownika, pozwalający na minimum 120 minut pracy w konfiguracji EKG,NIBP,SpO2.</w:t>
            </w:r>
          </w:p>
        </w:tc>
        <w:tc>
          <w:tcPr>
            <w:tcW w:w="2268" w:type="dxa"/>
            <w:vAlign w:val="center"/>
          </w:tcPr>
          <w:p w14:paraId="5005E2E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CDF169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5BDA121" w14:textId="77777777" w:rsidTr="004A7375">
        <w:trPr>
          <w:jc w:val="center"/>
        </w:trPr>
        <w:tc>
          <w:tcPr>
            <w:tcW w:w="664" w:type="dxa"/>
            <w:vAlign w:val="center"/>
          </w:tcPr>
          <w:p w14:paraId="099A9858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0AD31BE6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wyposażony w składany uchwyt do przenoszenia</w:t>
            </w:r>
          </w:p>
        </w:tc>
        <w:tc>
          <w:tcPr>
            <w:tcW w:w="2268" w:type="dxa"/>
            <w:vAlign w:val="center"/>
          </w:tcPr>
          <w:p w14:paraId="5FE1F54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7A8CBEB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047DB60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0D5171D" w14:textId="77777777" w:rsidTr="004A7375">
        <w:trPr>
          <w:jc w:val="center"/>
        </w:trPr>
        <w:tc>
          <w:tcPr>
            <w:tcW w:w="664" w:type="dxa"/>
            <w:vAlign w:val="center"/>
          </w:tcPr>
          <w:p w14:paraId="36DB66B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A00AB17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Wyposażenie z złącza wejścia/wyjścia:</w:t>
            </w:r>
          </w:p>
          <w:p w14:paraId="26B049B4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wyjście sygnału do podłączenia ekranu kopiującego,</w:t>
            </w:r>
          </w:p>
          <w:p w14:paraId="540848A5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co najmniej 2 gniazda USB do podłączenia klawiatury, myszki komputerowej, skanera kodów paskowych,</w:t>
            </w:r>
          </w:p>
          <w:p w14:paraId="5CD7BC01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gniazdo RJ-45 do połączenia z siecią monitorowania.</w:t>
            </w:r>
          </w:p>
        </w:tc>
        <w:tc>
          <w:tcPr>
            <w:tcW w:w="2268" w:type="dxa"/>
            <w:vAlign w:val="center"/>
          </w:tcPr>
          <w:p w14:paraId="5B5458F0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DE4E29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ABB56A9" w14:textId="77777777" w:rsidTr="004A7375">
        <w:trPr>
          <w:jc w:val="center"/>
        </w:trPr>
        <w:tc>
          <w:tcPr>
            <w:tcW w:w="664" w:type="dxa"/>
            <w:vAlign w:val="center"/>
          </w:tcPr>
          <w:p w14:paraId="69E49B15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021E75E2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Możliwość rozbudowy monitora o pomiary:</w:t>
            </w:r>
          </w:p>
          <w:p w14:paraId="659D1F3D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stopnia uśpienia BIS,</w:t>
            </w:r>
          </w:p>
          <w:p w14:paraId="57C45395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EEG i aEEG,</w:t>
            </w:r>
          </w:p>
          <w:p w14:paraId="21C7659B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inwazyjnego pomiaru rzutu serca metodą Swan-Ganza,</w:t>
            </w:r>
          </w:p>
          <w:p w14:paraId="7991A30D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parametrów mechaniki oddechowej,</w:t>
            </w:r>
          </w:p>
          <w:p w14:paraId="63292F51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wolumetrycznego CO2,</w:t>
            </w:r>
          </w:p>
          <w:p w14:paraId="3E093189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parametrów metabolicznych RQ i EE,</w:t>
            </w:r>
          </w:p>
          <w:p w14:paraId="01BE18F5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przewodnictwa nerwowo-mięśniowego NMT,</w:t>
            </w:r>
          </w:p>
          <w:p w14:paraId="74D02DB7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- oksymetrii tkankowej.</w:t>
            </w:r>
          </w:p>
        </w:tc>
        <w:tc>
          <w:tcPr>
            <w:tcW w:w="2268" w:type="dxa"/>
            <w:vAlign w:val="center"/>
          </w:tcPr>
          <w:p w14:paraId="7176C6F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4BB911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0E382B4E" w14:textId="77777777" w:rsidTr="004A7375">
        <w:trPr>
          <w:jc w:val="center"/>
        </w:trPr>
        <w:tc>
          <w:tcPr>
            <w:tcW w:w="664" w:type="dxa"/>
            <w:vAlign w:val="center"/>
          </w:tcPr>
          <w:p w14:paraId="5FF869BC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7FD310E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Możliwość rozbudowy monitora o moduł interfejsowy do jednoczesnego podłączenia do 4 zewnętrznych urządzeń medycznych (respiratory, pompy infuzyjne, aparaty do znieczulania, monitory hemodynamiczne)</w:t>
            </w:r>
          </w:p>
        </w:tc>
        <w:tc>
          <w:tcPr>
            <w:tcW w:w="2268" w:type="dxa"/>
            <w:vAlign w:val="center"/>
          </w:tcPr>
          <w:p w14:paraId="274FC52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A4BEFB8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7E0CACAC" w14:textId="77777777" w:rsidTr="004A7375">
        <w:trPr>
          <w:jc w:val="center"/>
        </w:trPr>
        <w:tc>
          <w:tcPr>
            <w:tcW w:w="664" w:type="dxa"/>
            <w:vAlign w:val="center"/>
          </w:tcPr>
          <w:p w14:paraId="1BE2116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AC33E04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Możliwość rozbudowy o wbudowany komputer medyczny umożliwiający uruchamianie na ekranie monitora pacjenta zewnętrznych aplikacji klinicznych (jak np. PACS, LIS, HIS/CIS i EMR)</w:t>
            </w:r>
          </w:p>
        </w:tc>
        <w:tc>
          <w:tcPr>
            <w:tcW w:w="2268" w:type="dxa"/>
            <w:vAlign w:val="center"/>
          </w:tcPr>
          <w:p w14:paraId="217E5777" w14:textId="0A8E12E9" w:rsidR="00E9354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6EE465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41DFAC7C" w14:textId="77777777" w:rsidTr="004A7375">
        <w:trPr>
          <w:jc w:val="center"/>
        </w:trPr>
        <w:tc>
          <w:tcPr>
            <w:tcW w:w="664" w:type="dxa"/>
            <w:vAlign w:val="center"/>
          </w:tcPr>
          <w:p w14:paraId="4749507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2A113E3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Stopień ochrony przed groźnym zalaniem wodą co najmniej IPX1</w:t>
            </w:r>
          </w:p>
        </w:tc>
        <w:tc>
          <w:tcPr>
            <w:tcW w:w="2268" w:type="dxa"/>
            <w:vAlign w:val="center"/>
          </w:tcPr>
          <w:p w14:paraId="5884D4D0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AE5183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C6441E2" w14:textId="77777777" w:rsidTr="004A7375">
        <w:trPr>
          <w:jc w:val="center"/>
        </w:trPr>
        <w:tc>
          <w:tcPr>
            <w:tcW w:w="664" w:type="dxa"/>
            <w:vAlign w:val="center"/>
          </w:tcPr>
          <w:p w14:paraId="3CE8E01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CE9EAC2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Kolorowy pojedynczy, pojemnościowy ekran dotykowy w postaci płaskiego panelu LCD TFT o przekątnej minimum 15", rozdzielczości co najmniej 1920x1080 pikseli. Min. 10 krzywych dynamicznych wyświetlanych jednocześnie na ekranie. Miejsca na moduły pomiarowe w jednej obudowie z ekranem.  </w:t>
            </w:r>
          </w:p>
        </w:tc>
        <w:tc>
          <w:tcPr>
            <w:tcW w:w="2268" w:type="dxa"/>
            <w:vAlign w:val="center"/>
          </w:tcPr>
          <w:p w14:paraId="44DFFFD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0670CD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F466976" w14:textId="77777777" w:rsidTr="004A7375">
        <w:trPr>
          <w:jc w:val="center"/>
        </w:trPr>
        <w:tc>
          <w:tcPr>
            <w:tcW w:w="664" w:type="dxa"/>
            <w:vAlign w:val="center"/>
          </w:tcPr>
          <w:p w14:paraId="5D407AA1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0DAD5253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Moduły wieloparametrowe w tym moduły transportowe tego samego producenta co jednostka główna kardiomonitora. Zamawiający nie dopuszcza możliwości stosowania komputerów oraz monitorów medycznych w celu wizualizacji mierzonych parametrów oraz obsługi funkcji modułów wieloparametrowych (w tym modułów transportowych).</w:t>
            </w:r>
          </w:p>
        </w:tc>
        <w:tc>
          <w:tcPr>
            <w:tcW w:w="2268" w:type="dxa"/>
            <w:vAlign w:val="center"/>
          </w:tcPr>
          <w:p w14:paraId="4D3BF9D7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0EC961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12AA7515" w14:textId="77777777" w:rsidTr="004A7375">
        <w:trPr>
          <w:jc w:val="center"/>
        </w:trPr>
        <w:tc>
          <w:tcPr>
            <w:tcW w:w="664" w:type="dxa"/>
            <w:vAlign w:val="center"/>
          </w:tcPr>
          <w:p w14:paraId="2B48B8CC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FE6374A" w14:textId="31CB8EDB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Funkcja automatycznego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dostosowania jasności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 ekranu do natężenia światła otoczenia</w:t>
            </w:r>
          </w:p>
        </w:tc>
        <w:tc>
          <w:tcPr>
            <w:tcW w:w="2268" w:type="dxa"/>
            <w:vAlign w:val="center"/>
          </w:tcPr>
          <w:p w14:paraId="5DE3C8CE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69B662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4A7CCDFC" w14:textId="77777777" w:rsidTr="004A7375">
        <w:trPr>
          <w:jc w:val="center"/>
        </w:trPr>
        <w:tc>
          <w:tcPr>
            <w:tcW w:w="664" w:type="dxa"/>
            <w:vAlign w:val="center"/>
          </w:tcPr>
          <w:p w14:paraId="305A5FBA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61725C9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Obsługa wielodotykowa za pomocą gestów przeciągania. Szybkie przełączanie między ekranami, bez wchodzenia do menu, za pomocą gestów np. przesunięcie w lewo lub w prawo dwoma palcami po ekranie.</w:t>
            </w:r>
          </w:p>
        </w:tc>
        <w:tc>
          <w:tcPr>
            <w:tcW w:w="2268" w:type="dxa"/>
            <w:vAlign w:val="center"/>
          </w:tcPr>
          <w:p w14:paraId="111140E0" w14:textId="12842728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5DF29555" w14:textId="07782C2C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E57D46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3E4CF45F" w14:textId="77777777" w:rsidTr="004A7375">
        <w:trPr>
          <w:jc w:val="center"/>
        </w:trPr>
        <w:tc>
          <w:tcPr>
            <w:tcW w:w="664" w:type="dxa"/>
            <w:vAlign w:val="center"/>
          </w:tcPr>
          <w:p w14:paraId="30F71078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13F8FDB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Fabrycznie skonfigurowane co najmniej trzy układy ekranu: normalny (krzywe dynamiczne i wartości parametrów), minitrendów (krótkie trendy, krzywe dynamiczne i wartości parametrów), duże odczyty.</w:t>
            </w:r>
          </w:p>
        </w:tc>
        <w:tc>
          <w:tcPr>
            <w:tcW w:w="2268" w:type="dxa"/>
            <w:vAlign w:val="center"/>
          </w:tcPr>
          <w:p w14:paraId="4E7E8A3E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78A438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06BBF177" w14:textId="77777777" w:rsidTr="004A7375">
        <w:trPr>
          <w:jc w:val="center"/>
        </w:trPr>
        <w:tc>
          <w:tcPr>
            <w:tcW w:w="664" w:type="dxa"/>
            <w:vAlign w:val="center"/>
          </w:tcPr>
          <w:p w14:paraId="2947BD0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02C5BB6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Ustawianie granic alarmowych przez użytkownika oraz funkcja automatycznego ustawiania granic alarmowych na podstawie bieżących wartości parametrów. Ustawianie głośności alarmowania (co najmniej 9 poziomów do wyboru). Ustawianie wzorców sygnalizacji alarmowej (co najmniej 3 wzorce do wyboru).</w:t>
            </w:r>
          </w:p>
        </w:tc>
        <w:tc>
          <w:tcPr>
            <w:tcW w:w="2268" w:type="dxa"/>
            <w:vAlign w:val="center"/>
          </w:tcPr>
          <w:p w14:paraId="00C7339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51376A8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4A72E9EE" w14:textId="77777777" w:rsidTr="004A7375">
        <w:trPr>
          <w:jc w:val="center"/>
        </w:trPr>
        <w:tc>
          <w:tcPr>
            <w:tcW w:w="664" w:type="dxa"/>
            <w:vAlign w:val="center"/>
          </w:tcPr>
          <w:p w14:paraId="732B0691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4A7EC8C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Funkcja zawieszenia sygnalizacji alarmowej na czas wybrany przez użytkownika (do wyboru co najmniej wstrzymanie alarmów na 1, 2, 5 i 10 minut) oraz możliwość zawieszenia alarmów na stałe (zabezpieczone hasłem).</w:t>
            </w:r>
          </w:p>
        </w:tc>
        <w:tc>
          <w:tcPr>
            <w:tcW w:w="2268" w:type="dxa"/>
            <w:vAlign w:val="center"/>
          </w:tcPr>
          <w:p w14:paraId="492AAB1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4F1C72E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6DDC5D5" w14:textId="77777777" w:rsidTr="004A7375">
        <w:trPr>
          <w:jc w:val="center"/>
        </w:trPr>
        <w:tc>
          <w:tcPr>
            <w:tcW w:w="664" w:type="dxa"/>
            <w:vAlign w:val="center"/>
          </w:tcPr>
          <w:p w14:paraId="35852E7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15497B8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wyposażony w funkcję trybu intubacji: zawieszenie działania alarmów związanych z pomiarami CO2 i częstości oddechu, bez jednoczesnego wyłączania alarmów innych parametrów. Wyświetlanie na ekranie stopera z czasem jaki pozostał do zakończenia procesu intubacji (ustawiane czasy co najmniej do wyboru 1 i 2 minuty).</w:t>
            </w:r>
          </w:p>
        </w:tc>
        <w:tc>
          <w:tcPr>
            <w:tcW w:w="2268" w:type="dxa"/>
            <w:vAlign w:val="center"/>
          </w:tcPr>
          <w:p w14:paraId="354D5DCA" w14:textId="66FB82DF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7413D018" w14:textId="72DEF6EE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7230E0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8044FD7" w14:textId="77777777" w:rsidTr="004A7375">
        <w:trPr>
          <w:jc w:val="center"/>
        </w:trPr>
        <w:tc>
          <w:tcPr>
            <w:tcW w:w="664" w:type="dxa"/>
            <w:vAlign w:val="center"/>
          </w:tcPr>
          <w:p w14:paraId="14FB6B6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0C54EF6B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wyposażony w funkcję wzywania pomocy - użytkownik znajdujący się przy danym monitorze może uruchomić sygnalizację dźwiękową i wizualną na innych monitorach lub centrali znajdujących się na tym samym oddziale. Na innym monitorach i centrali uruchomi się dźwiękowa sygnalizacja alarmowa oraz pojawi się okno informujące, z którego monitora wysyłany jest sygnał.</w:t>
            </w:r>
          </w:p>
        </w:tc>
        <w:tc>
          <w:tcPr>
            <w:tcW w:w="2268" w:type="dxa"/>
            <w:vAlign w:val="center"/>
          </w:tcPr>
          <w:p w14:paraId="3171A5E7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FF6541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2A60BA5C" w14:textId="77777777" w:rsidTr="004A7375">
        <w:trPr>
          <w:jc w:val="center"/>
        </w:trPr>
        <w:tc>
          <w:tcPr>
            <w:tcW w:w="664" w:type="dxa"/>
            <w:vAlign w:val="center"/>
          </w:tcPr>
          <w:p w14:paraId="3877DD86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97A1F2A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 xml:space="preserve">Monitor wyposażony w funkcję analizującą jednocześnie sygnał EKG, sygnał krzywej pletyzmograficznej i sygnał IBP w celu uzyskania dokładniejszych wyników analizy arytmii i pomiarów częstości tętna. Wyświetlanie zestawienia z zaznaczeniem sygnału o najlepszej jakości </w:t>
            </w:r>
          </w:p>
        </w:tc>
        <w:tc>
          <w:tcPr>
            <w:tcW w:w="2268" w:type="dxa"/>
            <w:vAlign w:val="center"/>
          </w:tcPr>
          <w:p w14:paraId="0D0A8506" w14:textId="3E8A4316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679DE6D5" w14:textId="59D880DF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2FAD674D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D2ED242" w14:textId="77777777" w:rsidTr="004A7375">
        <w:trPr>
          <w:jc w:val="center"/>
        </w:trPr>
        <w:tc>
          <w:tcPr>
            <w:tcW w:w="664" w:type="dxa"/>
            <w:vAlign w:val="center"/>
          </w:tcPr>
          <w:p w14:paraId="5BDA168A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89F9209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Przynajmniej 120-godzinne trendy wszystkich mierzonych parametrów, w postaci tabel i wykresów z rozdzielczością przynajmniej 1 minuty</w:t>
            </w:r>
          </w:p>
        </w:tc>
        <w:tc>
          <w:tcPr>
            <w:tcW w:w="2268" w:type="dxa"/>
            <w:vAlign w:val="center"/>
          </w:tcPr>
          <w:p w14:paraId="7CB23E4E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D0D2AC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1322949" w14:textId="77777777" w:rsidTr="004A7375">
        <w:trPr>
          <w:jc w:val="center"/>
        </w:trPr>
        <w:tc>
          <w:tcPr>
            <w:tcW w:w="664" w:type="dxa"/>
            <w:vAlign w:val="center"/>
          </w:tcPr>
          <w:p w14:paraId="68451021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3C88C03E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Zapamiętywanie krzywych dynamicznych w czasie rzeczywistym (funkcja full disclosure) – pamięć co najmniej 24 godziny</w:t>
            </w:r>
          </w:p>
        </w:tc>
        <w:tc>
          <w:tcPr>
            <w:tcW w:w="2268" w:type="dxa"/>
            <w:vAlign w:val="center"/>
          </w:tcPr>
          <w:p w14:paraId="6543E6D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8FB7130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9C1953C" w14:textId="77777777" w:rsidTr="004A7375">
        <w:trPr>
          <w:jc w:val="center"/>
        </w:trPr>
        <w:tc>
          <w:tcPr>
            <w:tcW w:w="664" w:type="dxa"/>
            <w:vAlign w:val="center"/>
          </w:tcPr>
          <w:p w14:paraId="5C66B042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A84AC8A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Zapamiętywanie co najmniej 700 zdarzeń alarmowych (krzywe i odpowiadające im wartości parametrów)</w:t>
            </w:r>
          </w:p>
        </w:tc>
        <w:tc>
          <w:tcPr>
            <w:tcW w:w="2268" w:type="dxa"/>
            <w:vAlign w:val="center"/>
          </w:tcPr>
          <w:p w14:paraId="7EDC1EC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D964AD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7CA22A4D" w14:textId="77777777" w:rsidTr="004A7375">
        <w:trPr>
          <w:jc w:val="center"/>
        </w:trPr>
        <w:tc>
          <w:tcPr>
            <w:tcW w:w="664" w:type="dxa"/>
            <w:vAlign w:val="center"/>
          </w:tcPr>
          <w:p w14:paraId="4287000E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019EA15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Możliwość współpracy z centralą pielęgniarską</w:t>
            </w:r>
          </w:p>
        </w:tc>
        <w:tc>
          <w:tcPr>
            <w:tcW w:w="2268" w:type="dxa"/>
            <w:vAlign w:val="center"/>
          </w:tcPr>
          <w:p w14:paraId="0D360F0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DEB72D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1EBEE009" w14:textId="77777777" w:rsidTr="004A7375">
        <w:tblPrEx>
          <w:jc w:val="left"/>
        </w:tblPrEx>
        <w:tc>
          <w:tcPr>
            <w:tcW w:w="664" w:type="dxa"/>
          </w:tcPr>
          <w:p w14:paraId="743DB7CB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7EC0CF44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Możliwość bezpośredniego wysyłania danych w standardzie HL7 (wartości parametrów, krzywe i alarmy) z monitora pacjenta bez pośrednictwa centrali lub innego urządzenia typu bramka.</w:t>
            </w:r>
          </w:p>
        </w:tc>
        <w:tc>
          <w:tcPr>
            <w:tcW w:w="2268" w:type="dxa"/>
          </w:tcPr>
          <w:p w14:paraId="45DC72E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3530732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793C8DD1" w14:textId="77777777" w:rsidTr="004A7375">
        <w:tblPrEx>
          <w:jc w:val="left"/>
        </w:tblPrEx>
        <w:tc>
          <w:tcPr>
            <w:tcW w:w="664" w:type="dxa"/>
          </w:tcPr>
          <w:p w14:paraId="1BA58194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3768C91B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przystosowany do współpracy z nadajnikiem telemetrycznym z możliwością przeglądania danych pomiarów z urządzenia telemetrycznego na ekranie monitora.</w:t>
            </w:r>
          </w:p>
        </w:tc>
        <w:tc>
          <w:tcPr>
            <w:tcW w:w="2268" w:type="dxa"/>
          </w:tcPr>
          <w:p w14:paraId="49F7EF71" w14:textId="3CE68B4D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47A9ABB3" w14:textId="593C7B55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532CD03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92D2A16" w14:textId="77777777" w:rsidTr="004A7375">
        <w:tblPrEx>
          <w:jc w:val="left"/>
        </w:tblPrEx>
        <w:tc>
          <w:tcPr>
            <w:tcW w:w="664" w:type="dxa"/>
          </w:tcPr>
          <w:p w14:paraId="231981D7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2496D2C6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Funkcja monitorowania alarmów z innych kardiomonitorów podłączonych do tej samej sieci (co najmniej dwa jednocześnie)</w:t>
            </w:r>
          </w:p>
        </w:tc>
        <w:tc>
          <w:tcPr>
            <w:tcW w:w="2268" w:type="dxa"/>
          </w:tcPr>
          <w:p w14:paraId="4920BC36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07E14BF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243B6A2" w14:textId="77777777" w:rsidTr="004A7375">
        <w:tblPrEx>
          <w:jc w:val="left"/>
        </w:tblPrEx>
        <w:tc>
          <w:tcPr>
            <w:tcW w:w="664" w:type="dxa"/>
          </w:tcPr>
          <w:p w14:paraId="04B46D88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8DA9E3A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Informacje o pacjencie, ustawienia alarmów synchronizowane pomiędzy monitorem i centralą</w:t>
            </w:r>
          </w:p>
        </w:tc>
        <w:tc>
          <w:tcPr>
            <w:tcW w:w="2268" w:type="dxa"/>
          </w:tcPr>
          <w:p w14:paraId="15F4C3CE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6A087A2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000333D1" w14:textId="77777777" w:rsidTr="004A7375">
        <w:tblPrEx>
          <w:jc w:val="left"/>
        </w:tblPrEx>
        <w:tc>
          <w:tcPr>
            <w:tcW w:w="664" w:type="dxa"/>
          </w:tcPr>
          <w:p w14:paraId="5AC25E16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DA047C8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Monitor (moduł) transportowy z podglądem monitorowanych parametrów – Monitorowanie co najmniej EKG, NIBP, SpO2, 2Temp, 2IBP – (opis poszczególnych parametrów poniżej) podczas transportu pacjenta, będący jednocześnie modułem pomiarowym monitora pacjenta po włożeniu do 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lastRenderedPageBreak/>
              <w:t>miejsca parkingowego jednostki głównej.  Ekran monitora transportowego o przekątnej min. 5,5”. Rozdzielczość co najmniej 1200 x 700 pikseli. Ciężar monitora nie więcej niż 1 kg. Czas pracy na zasilaniu akumulatorowym co najmniej 4 godziny. Własna wewnętrzna pamięć monitora transportowego pozwalająca na zapamiętywanie co najmniej 24 godzin trendów monitorowanych parametrów.</w:t>
            </w:r>
          </w:p>
        </w:tc>
        <w:tc>
          <w:tcPr>
            <w:tcW w:w="2268" w:type="dxa"/>
          </w:tcPr>
          <w:p w14:paraId="38EEC30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</w:tcPr>
          <w:p w14:paraId="3ABD020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3896B45D" w14:textId="77777777" w:rsidTr="004A7375">
        <w:tblPrEx>
          <w:jc w:val="left"/>
        </w:tblPrEx>
        <w:tc>
          <w:tcPr>
            <w:tcW w:w="664" w:type="dxa"/>
          </w:tcPr>
          <w:p w14:paraId="15E77CAB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CA6783F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Obsługa monitora transportowego poprzez ekran dotykowy. Ochrona monitora przed wnikaniem ciał obcych nie mniejszych niż 1,0 mm oraz przed dostępem do części niebezpiecznych przez dotknięcie drutem; ochrona przed szkodliwym wpływem rozpryskiwanej wody – stopień ochrony co najmniej IP44.</w:t>
            </w:r>
          </w:p>
        </w:tc>
        <w:tc>
          <w:tcPr>
            <w:tcW w:w="2268" w:type="dxa"/>
          </w:tcPr>
          <w:p w14:paraId="49600588" w14:textId="2DF89F50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03C0FF36" w14:textId="737ACFB4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E0B7510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0036BCCC" w14:textId="77777777" w:rsidTr="004A7375">
        <w:tblPrEx>
          <w:jc w:val="left"/>
        </w:tblPrEx>
        <w:tc>
          <w:tcPr>
            <w:tcW w:w="664" w:type="dxa"/>
          </w:tcPr>
          <w:p w14:paraId="08922D8E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AEA44ED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EKG - pomiar częstości akcji serca (na wszystkich stanowiskach). Zakres minimum 30-300/min. Ustawianie prędkości przesuwu krzywej EKG do wyboru co najmniej: 6.25; 12.5; 25; 50 mm/s. Ustawianie wzmocnienia krzywej EKG do wyboru co najmniej: x0.125; x0.25; 0.5; x1; x2; x4; auto.</w:t>
            </w:r>
          </w:p>
          <w:p w14:paraId="3863159C" w14:textId="77777777" w:rsidR="00E93545" w:rsidRPr="004A7375" w:rsidRDefault="00E93545" w:rsidP="00B74443">
            <w:pPr>
              <w:pStyle w:val="Style10"/>
              <w:jc w:val="left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Monitorowanie do min. 7 odprowadzeń jednocześnie.</w:t>
            </w:r>
          </w:p>
          <w:p w14:paraId="4C40CF86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W komplecie z monitorem: przewód EKG z kompletem 5 końcówek.</w:t>
            </w:r>
          </w:p>
        </w:tc>
        <w:tc>
          <w:tcPr>
            <w:tcW w:w="2268" w:type="dxa"/>
          </w:tcPr>
          <w:p w14:paraId="6D6616F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008B6F3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6955048B" w14:textId="77777777" w:rsidTr="004A7375">
        <w:tblPrEx>
          <w:jc w:val="left"/>
        </w:tblPrEx>
        <w:tc>
          <w:tcPr>
            <w:tcW w:w="664" w:type="dxa"/>
          </w:tcPr>
          <w:p w14:paraId="4EF57E7B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3B0205A4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Analiza arytmii – wykrywanie co najmniej 24 kategorie zaburzeń rytmu w tym VF, ASYS, BRADY, TACHY, AF. Wykorzystywanie do analizy EKG co najmniej 4 odprowadzeń EKG jednocześnie. Możliwość wyboru odprowadzeni do analizy przez użytkownika.</w:t>
            </w:r>
          </w:p>
        </w:tc>
        <w:tc>
          <w:tcPr>
            <w:tcW w:w="2268" w:type="dxa"/>
          </w:tcPr>
          <w:p w14:paraId="579F478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148910C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3A850390" w14:textId="77777777" w:rsidTr="004A7375">
        <w:tblPrEx>
          <w:jc w:val="left"/>
        </w:tblPrEx>
        <w:tc>
          <w:tcPr>
            <w:tcW w:w="664" w:type="dxa"/>
          </w:tcPr>
          <w:p w14:paraId="7D9C446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EF9F411" w14:textId="1045AB34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Analiza odcinka ST – jednoczesny pomiar odchylenia odcinka ST w siedmiu odprowadzeniach w zakresie co najmniej od -2,0 do +2,0 mV. Prezentacja zmian odchylenia ST w postaci wzorcowych odcinków ST z nanoszonymi na nie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bieżącymi odcinkami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.  Tryb alarmowania ST w oparciu wartości bezwzględne oraz względne w stosunku do linii odniesienia. Możliwość ustawienia granic alarmowych dla pojedynczego ST oraz dla dwóch jednocześnie ST.</w:t>
            </w:r>
          </w:p>
        </w:tc>
        <w:tc>
          <w:tcPr>
            <w:tcW w:w="2268" w:type="dxa"/>
          </w:tcPr>
          <w:p w14:paraId="061534B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7694837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19BFE201" w14:textId="77777777" w:rsidTr="004A7375">
        <w:tblPrEx>
          <w:jc w:val="left"/>
        </w:tblPrEx>
        <w:tc>
          <w:tcPr>
            <w:tcW w:w="664" w:type="dxa"/>
          </w:tcPr>
          <w:p w14:paraId="1BE68B26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7674F07E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Analiza zmian odcinka QT oraz obliczanie wartości QTc wg. co najmniej 4 wzorów</w:t>
            </w:r>
          </w:p>
        </w:tc>
        <w:tc>
          <w:tcPr>
            <w:tcW w:w="2268" w:type="dxa"/>
          </w:tcPr>
          <w:p w14:paraId="7F3AFAB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14B25DA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81AD3B4" w14:textId="77777777" w:rsidTr="004A7375">
        <w:tblPrEx>
          <w:jc w:val="left"/>
        </w:tblPrEx>
        <w:tc>
          <w:tcPr>
            <w:tcW w:w="664" w:type="dxa"/>
          </w:tcPr>
          <w:p w14:paraId="714E1062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AD77F81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RESP (na wszystkich stanowiskach)– pomiar częstości oddechu metodą impedancyjną. Zakres pomiarowy częstości oddechu co najmniej od 5 do 200 R/min. Możliwość wyboru odprowadzeni do monitorowania respiracji. Wybór prędkości przesuwu krzywych co najmniej 3; 6.25; 12,5; 25; 50 mm/s.</w:t>
            </w:r>
          </w:p>
        </w:tc>
        <w:tc>
          <w:tcPr>
            <w:tcW w:w="2268" w:type="dxa"/>
          </w:tcPr>
          <w:p w14:paraId="1843541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69FE33EC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2DA20AB6" w14:textId="77777777" w:rsidTr="004A7375">
        <w:tblPrEx>
          <w:jc w:val="left"/>
        </w:tblPrEx>
        <w:tc>
          <w:tcPr>
            <w:tcW w:w="664" w:type="dxa"/>
          </w:tcPr>
          <w:p w14:paraId="18387A9B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9C45A75" w14:textId="45B781E4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Saturacja (SpO2- na wszystkich stanowiskach). Zakres pomiarowy %SpO2 0-100%. Zakres pomiarowy częstości pulsu co najmniej 30-300 P/min. Jednoczesne wyświetlanie krzywej pletyzmograficznej oraz wartości %saturacji, częstości pulsu i wskaźnika perfuzji. Alarm desaturacji. Wyświetlanie statystyk pomiaru SpO2 w postaci wykresów słupkowych. W komplecie z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monitorem przewód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 interfejsowy oraz wielorazowe czujniki SpO2 dla dorosłych typu klips na palec</w:t>
            </w:r>
          </w:p>
        </w:tc>
        <w:tc>
          <w:tcPr>
            <w:tcW w:w="2268" w:type="dxa"/>
          </w:tcPr>
          <w:p w14:paraId="0CCF25A8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01E447C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41DD381C" w14:textId="77777777" w:rsidTr="004A7375">
        <w:tblPrEx>
          <w:jc w:val="left"/>
        </w:tblPrEx>
        <w:tc>
          <w:tcPr>
            <w:tcW w:w="664" w:type="dxa"/>
          </w:tcPr>
          <w:p w14:paraId="3C81C02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8B5BFC8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Nieinwazyjny pomiar ciśnienia (NIPC) metodą oscylometryczną. (na wszystkich stanowiskach). Pomiar ręczny, automatyczny, ciągły (powtarzające się pomiary w czasie 5 min). Pomiar automatyczny z regulowanym interwałem co najmniej 1 – 480 minut. Wyświetlanie na ekranie wartości ustawionego interwału oraz czasu jaki pozostał do kolejnego pomiaru. Pomiar sekwencyjny z co najmniej 5 programowalnymi cyklami, z indywidualnym ustawianiem ich czasu trwania i odstępów pomiarowych dla każdego cyklu.  Prezentacja wartości: skurczowej, rozkurczowej oraz średniej. Możliwość ustawiania przez użytkownika formatu wyświetlanych danych np. ciśnienie skurczowe, rozkurczowe i średnie lub tylko średnie. Funkcja stazy. Funkcja wstępnego ustawiania ciśnienia pompowania mankietu. Pomiar częstości pulsu wraz z nieinwazyjnym ciśnieniem co najmniej w zakresie od 30 do 300 P/min. W komplecie z każdym monitorem przewód oraz mankiety w rozmiarze średnim i dużym.</w:t>
            </w:r>
          </w:p>
        </w:tc>
        <w:tc>
          <w:tcPr>
            <w:tcW w:w="2268" w:type="dxa"/>
          </w:tcPr>
          <w:p w14:paraId="4F8B4228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2C75E4F4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79B6E9D3" w14:textId="77777777" w:rsidTr="004A7375">
        <w:tblPrEx>
          <w:jc w:val="left"/>
        </w:tblPrEx>
        <w:tc>
          <w:tcPr>
            <w:tcW w:w="664" w:type="dxa"/>
          </w:tcPr>
          <w:p w14:paraId="5EBE7159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B0F41BE" w14:textId="6D1B63AB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Pomiar temperatury, dwa tory pomiarowe (na wszystkich stanowiskach). Zakres pomiarowy co najmniej od 5 do 50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  <w:vertAlign w:val="superscript"/>
              </w:rPr>
              <w:t>o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C. Wyświetlanie T1, T2 oraz różnicy między nimi. Wybór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etykiety temperatury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 zgodnie z miejscem pomiaru z listy co najmniej 10 etykiet zapisanych w pamięci monitora. Możliwość rozbudowy monitora o co najmniej kolejne 4 tory pomiarowe temperatury. W komplecie z każdym monitorem czujnik temperatury powierzchniowej.</w:t>
            </w:r>
          </w:p>
        </w:tc>
        <w:tc>
          <w:tcPr>
            <w:tcW w:w="2268" w:type="dxa"/>
          </w:tcPr>
          <w:p w14:paraId="2359EAC5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B904BC0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52F288A7" w14:textId="77777777" w:rsidTr="004A7375">
        <w:tblPrEx>
          <w:jc w:val="left"/>
        </w:tblPrEx>
        <w:tc>
          <w:tcPr>
            <w:tcW w:w="664" w:type="dxa"/>
          </w:tcPr>
          <w:p w14:paraId="79354520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0BA9D809" w14:textId="53E7584F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Inwazyjny pomiar ciśnienia(IPC), dwa tory pomiarowe (na wszystkich stanowiskach). Możliwość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jednoczesnego wyświetlanie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 dwóch krzywych inwazyjnego ciśnienia ze wspólnym poziomem zero (nakładanie się krzywych). Wyświetlanie wartości ciśnień skurczowych, rozkurczowych i średnich. Zakres pomiarowy inwazyjnego ciśnienia co najmniej od -50 do +350 mmHg. Możliwość ustawiania przez użytkownika formatu wyświetlanych danych np. ciśnienie skurczowe, rozkurczowe i średnie lub tylko średnie. Obliczanie wartości PPV. Funkcja pomiaru PAWP. Pomiar częstości pulsu wraz z inwazyjnym ciśnieniem co najmniej w zakresie od 30 do 300 P/min. Wybór </w:t>
            </w:r>
            <w:r w:rsidR="00F05BC0"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lastRenderedPageBreak/>
              <w:t>etykiety inwazyjnego</w:t>
            </w: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 xml:space="preserve"> ciśnienia zgodnie z miejscem pomiaru z listy co najmniej 10 etykiet zapisanych w pamięci monitora. Automatyczny wybór zakres pomiarowego w zależności od wybranej etykiety oraz możliwość ręcznego wyboru zakresu pomiarowego. Możliwość rozbudowy monitora o co najmniej kolejne 4 tory pomiarowe inwazyjnego ciśnienia.</w:t>
            </w:r>
          </w:p>
        </w:tc>
        <w:tc>
          <w:tcPr>
            <w:tcW w:w="2268" w:type="dxa"/>
          </w:tcPr>
          <w:p w14:paraId="0DD18B0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</w:tcPr>
          <w:p w14:paraId="3ACFDA32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3BBBBF9E" w14:textId="77777777" w:rsidTr="004A7375">
        <w:tblPrEx>
          <w:jc w:val="left"/>
        </w:tblPrEx>
        <w:tc>
          <w:tcPr>
            <w:tcW w:w="664" w:type="dxa"/>
          </w:tcPr>
          <w:p w14:paraId="3D715C5D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0F132A1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Monitor wyposażony w funkcję obliczania punktacji do oceny poziomu świadomości wg. skali Glasgow (GCS).</w:t>
            </w:r>
          </w:p>
        </w:tc>
        <w:tc>
          <w:tcPr>
            <w:tcW w:w="2268" w:type="dxa"/>
          </w:tcPr>
          <w:p w14:paraId="003011F9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F2E3BDF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79BA1CFB" w14:textId="77777777" w:rsidTr="004A7375">
        <w:tblPrEx>
          <w:jc w:val="left"/>
        </w:tblPrEx>
        <w:tc>
          <w:tcPr>
            <w:tcW w:w="664" w:type="dxa"/>
          </w:tcPr>
          <w:p w14:paraId="2CB2DDF3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4F98D0A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color w:val="000000"/>
                <w:sz w:val="20"/>
                <w:szCs w:val="20"/>
              </w:rPr>
              <w:t>Funkcja wyświetlania statystyki SpO2 w wybranymi przez użytkownika przedziale czasowym (od 0,5 do 24 godzin) z prezentacją % udziału zaprogramowanych przez użytkownika przedziałów wartości %SpO2 w badanym przedziale czasowym, z wyborem zakresu docelowego</w:t>
            </w:r>
          </w:p>
        </w:tc>
        <w:tc>
          <w:tcPr>
            <w:tcW w:w="2268" w:type="dxa"/>
          </w:tcPr>
          <w:p w14:paraId="54A4A9B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C0F158A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293E3ECB" w14:textId="77777777" w:rsidTr="004A7375">
        <w:tblPrEx>
          <w:jc w:val="left"/>
        </w:tblPrEx>
        <w:tc>
          <w:tcPr>
            <w:tcW w:w="664" w:type="dxa"/>
          </w:tcPr>
          <w:p w14:paraId="73F6BED1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C035F05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Monitor wyposażony w funkcję trybu resuscytacyjnego: po naciśnięciu dedykowanego przycisku i potwierdzeniu wyboru następuje zawieszenie działania alarmów fizjologicznych wszystkich parametrów, na ekranie wyświetlana jest informacja w formie piktogramu o aktywnym trybie resuscytacyjnym.</w:t>
            </w:r>
          </w:p>
        </w:tc>
        <w:tc>
          <w:tcPr>
            <w:tcW w:w="2268" w:type="dxa"/>
          </w:tcPr>
          <w:p w14:paraId="08612FD7" w14:textId="1AD3CC94" w:rsidR="004A7375" w:rsidRPr="004A7375" w:rsidRDefault="00E93545" w:rsidP="004A7375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13750999" w14:textId="360490D6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BFDF8CB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93545" w:rsidRPr="004A7375" w14:paraId="4E9C3632" w14:textId="77777777" w:rsidTr="004A7375">
        <w:tblPrEx>
          <w:jc w:val="left"/>
        </w:tblPrEx>
        <w:tc>
          <w:tcPr>
            <w:tcW w:w="664" w:type="dxa"/>
          </w:tcPr>
          <w:p w14:paraId="53FBAA51" w14:textId="77777777" w:rsidR="00E93545" w:rsidRPr="004A7375" w:rsidRDefault="00E93545" w:rsidP="00E93545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78C1C495" w14:textId="77777777" w:rsidR="00E93545" w:rsidRPr="004A7375" w:rsidRDefault="00E93545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Statyw z półką do montażu monitora i dwoma koszykami na akcesoria lub uchwyt na ścianę z półką do montażu monitora i koszykiem na akcesoria (do wyboru przez zamawiającego na etapie realizacji zamówienia).</w:t>
            </w:r>
          </w:p>
        </w:tc>
        <w:tc>
          <w:tcPr>
            <w:tcW w:w="2268" w:type="dxa"/>
          </w:tcPr>
          <w:p w14:paraId="3C9F7C32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A7375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D6C4B93" w14:textId="77777777" w:rsidR="00E93545" w:rsidRPr="004A7375" w:rsidRDefault="00E93545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tbl>
      <w:tblPr>
        <w:tblStyle w:val="Tabela-Siatka1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6809"/>
        <w:gridCol w:w="2268"/>
        <w:gridCol w:w="4253"/>
      </w:tblGrid>
      <w:tr w:rsidR="00C52BE9" w:rsidRPr="004A7375" w14:paraId="6A8BD7B3" w14:textId="77777777" w:rsidTr="007B57C7">
        <w:trPr>
          <w:trHeight w:val="425"/>
        </w:trPr>
        <w:tc>
          <w:tcPr>
            <w:tcW w:w="14034" w:type="dxa"/>
            <w:gridSpan w:val="4"/>
            <w:shd w:val="clear" w:color="auto" w:fill="D9D9D9" w:themeFill="background1" w:themeFillShade="D9"/>
            <w:vAlign w:val="center"/>
          </w:tcPr>
          <w:p w14:paraId="0E18DABA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0" w:name="_Hlk221784856"/>
            <w:r w:rsidRPr="004A7375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C52BE9" w:rsidRPr="004A7375" w14:paraId="0B1544D2" w14:textId="77777777" w:rsidTr="004A7375">
        <w:tc>
          <w:tcPr>
            <w:tcW w:w="704" w:type="dxa"/>
            <w:vAlign w:val="center"/>
          </w:tcPr>
          <w:p w14:paraId="11DEEED5" w14:textId="77777777" w:rsidR="00C52BE9" w:rsidRPr="004A7375" w:rsidRDefault="00C52BE9" w:rsidP="00C52BE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7D1E12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A7375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77753" w14:textId="77777777" w:rsidR="00C52BE9" w:rsidRPr="004A7375" w:rsidRDefault="00C52BE9" w:rsidP="004A7375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4A7375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2A97C61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C52BE9" w:rsidRPr="004A7375" w14:paraId="09DCA117" w14:textId="77777777" w:rsidTr="004A7375">
        <w:tc>
          <w:tcPr>
            <w:tcW w:w="704" w:type="dxa"/>
            <w:vAlign w:val="center"/>
          </w:tcPr>
          <w:p w14:paraId="4F05FF9B" w14:textId="77777777" w:rsidR="00C52BE9" w:rsidRPr="004A7375" w:rsidRDefault="00C52BE9" w:rsidP="00C52BE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2BBD84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4A7375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9906B" w14:textId="0AAE423C" w:rsidR="00C52BE9" w:rsidRPr="004A7375" w:rsidRDefault="004A7375" w:rsidP="004A7375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62094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C52BE9" w:rsidRPr="004A7375" w14:paraId="349FA96D" w14:textId="77777777" w:rsidTr="004A7375">
        <w:tc>
          <w:tcPr>
            <w:tcW w:w="704" w:type="dxa"/>
            <w:vAlign w:val="center"/>
          </w:tcPr>
          <w:p w14:paraId="701CA23B" w14:textId="77777777" w:rsidR="00C52BE9" w:rsidRPr="004A7375" w:rsidRDefault="00C52BE9" w:rsidP="00C52BE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vAlign w:val="center"/>
          </w:tcPr>
          <w:p w14:paraId="15889817" w14:textId="77777777" w:rsidR="00C52BE9" w:rsidRPr="004A7375" w:rsidRDefault="00C52BE9" w:rsidP="007B57C7">
            <w:pPr>
              <w:rPr>
                <w:rFonts w:ascii="Aptos" w:hAnsi="Aptos"/>
                <w:sz w:val="20"/>
                <w:szCs w:val="20"/>
              </w:rPr>
            </w:pPr>
            <w:r w:rsidRPr="004A7375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343F5823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250FE0" w14:textId="77777777" w:rsidR="00C52BE9" w:rsidRPr="004A7375" w:rsidRDefault="00C52BE9" w:rsidP="004A7375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4A7375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4253" w:type="dxa"/>
            <w:vAlign w:val="center"/>
          </w:tcPr>
          <w:p w14:paraId="11DF0A6D" w14:textId="77777777" w:rsidR="00C52BE9" w:rsidRPr="004A7375" w:rsidRDefault="00C52BE9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14:paraId="59D7F64D" w14:textId="77777777" w:rsidR="00E93545" w:rsidRPr="004A7375" w:rsidRDefault="00E93545" w:rsidP="00E93545">
      <w:pPr>
        <w:rPr>
          <w:rFonts w:ascii="Aptos" w:hAnsi="Aptos" w:cstheme="majorHAnsi"/>
          <w:sz w:val="20"/>
          <w:szCs w:val="20"/>
        </w:rPr>
      </w:pPr>
    </w:p>
    <w:p w14:paraId="6B2CCFD0" w14:textId="77777777" w:rsidR="00BF65B3" w:rsidRPr="004A7375" w:rsidRDefault="00BF65B3" w:rsidP="00A57E8A">
      <w:pPr>
        <w:rPr>
          <w:rFonts w:ascii="Aptos" w:hAnsi="Aptos"/>
          <w:sz w:val="20"/>
          <w:szCs w:val="20"/>
        </w:rPr>
      </w:pPr>
    </w:p>
    <w:sectPr w:rsidR="00BF65B3" w:rsidRPr="004A7375" w:rsidSect="005A6C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7528" w14:textId="77777777" w:rsidR="00256FCD" w:rsidRDefault="00256FCD" w:rsidP="004A7375">
      <w:r>
        <w:separator/>
      </w:r>
    </w:p>
  </w:endnote>
  <w:endnote w:type="continuationSeparator" w:id="0">
    <w:p w14:paraId="6BE46EAD" w14:textId="77777777" w:rsidR="00256FCD" w:rsidRDefault="00256FCD" w:rsidP="004A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6D91" w14:textId="77777777" w:rsidR="004A7375" w:rsidRDefault="004A73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AF44" w14:textId="77777777" w:rsidR="004A7375" w:rsidRDefault="004A73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D3C7" w14:textId="77777777" w:rsidR="004A7375" w:rsidRDefault="004A7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9AB0" w14:textId="77777777" w:rsidR="00256FCD" w:rsidRDefault="00256FCD" w:rsidP="004A7375">
      <w:r>
        <w:separator/>
      </w:r>
    </w:p>
  </w:footnote>
  <w:footnote w:type="continuationSeparator" w:id="0">
    <w:p w14:paraId="33E12A23" w14:textId="77777777" w:rsidR="00256FCD" w:rsidRDefault="00256FCD" w:rsidP="004A7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E0473" w14:textId="77777777" w:rsidR="004A7375" w:rsidRDefault="004A73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6441" w14:textId="0CE14A0F" w:rsidR="004A7375" w:rsidRDefault="004A7375">
    <w:pPr>
      <w:pStyle w:val="Nagwek"/>
    </w:pPr>
    <w:r>
      <w:rPr>
        <w:noProof/>
      </w:rPr>
      <w:drawing>
        <wp:inline distT="0" distB="0" distL="0" distR="0" wp14:anchorId="39E2E08A" wp14:editId="4FCCE5B9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6473" w14:textId="77777777" w:rsidR="004A7375" w:rsidRDefault="004A7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787145">
    <w:abstractNumId w:val="2"/>
  </w:num>
  <w:num w:numId="2" w16cid:durableId="1003505658">
    <w:abstractNumId w:val="1"/>
  </w:num>
  <w:num w:numId="3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256FCD"/>
    <w:rsid w:val="004A7375"/>
    <w:rsid w:val="004B4966"/>
    <w:rsid w:val="005A6CF9"/>
    <w:rsid w:val="005F2529"/>
    <w:rsid w:val="007412F1"/>
    <w:rsid w:val="00A57E8A"/>
    <w:rsid w:val="00B625E5"/>
    <w:rsid w:val="00BF65B3"/>
    <w:rsid w:val="00C52BE9"/>
    <w:rsid w:val="00E146BF"/>
    <w:rsid w:val="00E31574"/>
    <w:rsid w:val="00E93545"/>
    <w:rsid w:val="00F05BC0"/>
    <w:rsid w:val="00F10C06"/>
    <w:rsid w:val="00F80F46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E8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rsid w:val="00A57E8A"/>
  </w:style>
  <w:style w:type="paragraph" w:customStyle="1" w:styleId="Style10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7412F1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7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37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7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37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50968-6454-4BAF-9FE4-6FC797160693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DE1F8A2F-E80B-485E-ABD5-B652A98FE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92864-F3B0-4F7C-8095-B2AA50CA9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1704</Words>
  <Characters>10227</Characters>
  <Application>Microsoft Office Word</Application>
  <DocSecurity>0</DocSecurity>
  <Lines>85</Lines>
  <Paragraphs>23</Paragraphs>
  <ScaleCrop>false</ScaleCrop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Niespodzianska, Joanna</cp:lastModifiedBy>
  <cp:revision>6</cp:revision>
  <dcterms:created xsi:type="dcterms:W3CDTF">2026-01-27T12:14:00Z</dcterms:created>
  <dcterms:modified xsi:type="dcterms:W3CDTF">2026-04-02T11:18:00Z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